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p>
    <w:p w14:paraId="7F2DD1CA" w14:textId="77777777" w:rsidR="00F54F29" w:rsidRPr="00BD658F" w:rsidRDefault="00F54F29" w:rsidP="00F54F29">
      <w:pPr>
        <w:spacing w:after="120" w:line="360" w:lineRule="auto"/>
        <w:jc w:val="center"/>
        <w:rPr>
          <w:b/>
          <w:bCs/>
          <w:szCs w:val="24"/>
          <w:u w:val="single"/>
          <w:rtl/>
        </w:rPr>
      </w:pPr>
      <w:bookmarkStart w:id="0" w:name="Start"/>
      <w:bookmarkEnd w:id="0"/>
      <w:r w:rsidRPr="00BD658F">
        <w:rPr>
          <w:b/>
          <w:bCs/>
          <w:szCs w:val="24"/>
          <w:u w:val="single"/>
          <w:rtl/>
        </w:rPr>
        <w:t>קול קורא</w:t>
      </w:r>
      <w:r w:rsidRPr="00BD658F">
        <w:rPr>
          <w:rFonts w:hint="cs"/>
          <w:b/>
          <w:bCs/>
          <w:szCs w:val="24"/>
          <w:u w:val="single"/>
          <w:rtl/>
        </w:rPr>
        <w:t xml:space="preserve"> מס' 15/16 </w:t>
      </w:r>
      <w:r w:rsidRPr="00BD658F">
        <w:rPr>
          <w:b/>
          <w:bCs/>
          <w:szCs w:val="24"/>
          <w:u w:val="single"/>
          <w:rtl/>
        </w:rPr>
        <w:t xml:space="preserve">למחקרים בתחום האנרגיה ומדעי האדמה </w:t>
      </w:r>
      <w:r w:rsidRPr="00BD658F">
        <w:rPr>
          <w:rFonts w:hint="cs"/>
          <w:b/>
          <w:bCs/>
          <w:szCs w:val="24"/>
          <w:u w:val="single"/>
          <w:rtl/>
        </w:rPr>
        <w:t xml:space="preserve">והים </w:t>
      </w:r>
      <w:r w:rsidRPr="00BD658F">
        <w:rPr>
          <w:b/>
          <w:bCs/>
          <w:szCs w:val="24"/>
          <w:u w:val="single"/>
          <w:rtl/>
        </w:rPr>
        <w:t xml:space="preserve">לשנת </w:t>
      </w:r>
      <w:r w:rsidRPr="00BD658F">
        <w:rPr>
          <w:rFonts w:hint="cs"/>
          <w:b/>
          <w:bCs/>
          <w:szCs w:val="24"/>
          <w:u w:val="single"/>
          <w:rtl/>
        </w:rPr>
        <w:t>2016</w:t>
      </w:r>
    </w:p>
    <w:p w14:paraId="05C7BD23" w14:textId="70AE4199" w:rsidR="00F54F29" w:rsidRPr="00BD658F" w:rsidRDefault="00F54F29" w:rsidP="009C4B3C">
      <w:pPr>
        <w:keepLines/>
        <w:autoSpaceDE w:val="0"/>
        <w:autoSpaceDN w:val="0"/>
        <w:adjustRightInd w:val="0"/>
        <w:spacing w:line="360" w:lineRule="auto"/>
        <w:jc w:val="both"/>
        <w:rPr>
          <w:szCs w:val="24"/>
          <w:rtl/>
        </w:rPr>
      </w:pPr>
      <w:r w:rsidRPr="00BD658F">
        <w:rPr>
          <w:szCs w:val="24"/>
          <w:rtl/>
        </w:rPr>
        <w:t>לשכת המדען הראשי </w:t>
      </w:r>
      <w:r w:rsidR="009C4B3C">
        <w:rPr>
          <w:rFonts w:hint="cs"/>
          <w:szCs w:val="24"/>
          <w:rtl/>
        </w:rPr>
        <w:t xml:space="preserve">במשרד התשתיות הלאומיות, האנרגיה והמים </w:t>
      </w:r>
      <w:r w:rsidRPr="00BD658F">
        <w:rPr>
          <w:szCs w:val="24"/>
          <w:rtl/>
        </w:rPr>
        <w:t>שואפת לשמר ולפתח את התשתיות הפיזיות, האנושיות והטכנולוגיות של ישר</w:t>
      </w:r>
      <w:bookmarkStart w:id="1" w:name="_GoBack"/>
      <w:bookmarkEnd w:id="1"/>
      <w:r w:rsidRPr="00BD658F">
        <w:rPr>
          <w:szCs w:val="24"/>
          <w:rtl/>
        </w:rPr>
        <w:t xml:space="preserve">אל, תוך תכנון ובניית כלים שיאפשרו את מימוש מדיניות המשרד </w:t>
      </w:r>
      <w:r w:rsidRPr="00BD658F">
        <w:rPr>
          <w:rFonts w:hint="cs"/>
          <w:szCs w:val="24"/>
          <w:rtl/>
        </w:rPr>
        <w:t xml:space="preserve">בין היתר, </w:t>
      </w:r>
      <w:r w:rsidRPr="00BD658F">
        <w:rPr>
          <w:rFonts w:hint="eastAsia"/>
          <w:szCs w:val="24"/>
          <w:rtl/>
        </w:rPr>
        <w:t>באמצעות</w:t>
      </w:r>
      <w:r w:rsidRPr="00BD658F">
        <w:rPr>
          <w:szCs w:val="24"/>
          <w:rtl/>
        </w:rPr>
        <w:t xml:space="preserve"> </w:t>
      </w:r>
      <w:r w:rsidRPr="00BD658F">
        <w:rPr>
          <w:rFonts w:hint="eastAsia"/>
          <w:szCs w:val="24"/>
          <w:rtl/>
        </w:rPr>
        <w:t>השקעה</w:t>
      </w:r>
      <w:r w:rsidRPr="00BD658F">
        <w:rPr>
          <w:szCs w:val="24"/>
          <w:rtl/>
        </w:rPr>
        <w:t xml:space="preserve"> </w:t>
      </w:r>
      <w:r w:rsidRPr="00BD658F">
        <w:rPr>
          <w:rFonts w:hint="eastAsia"/>
          <w:szCs w:val="24"/>
          <w:rtl/>
        </w:rPr>
        <w:t>במו</w:t>
      </w:r>
      <w:r w:rsidRPr="00BD658F">
        <w:rPr>
          <w:szCs w:val="24"/>
          <w:rtl/>
        </w:rPr>
        <w:t xml:space="preserve">"פ </w:t>
      </w:r>
      <w:r w:rsidRPr="00BD658F">
        <w:rPr>
          <w:rFonts w:hint="eastAsia"/>
          <w:szCs w:val="24"/>
          <w:rtl/>
        </w:rPr>
        <w:t>באקדמיה</w:t>
      </w:r>
      <w:r w:rsidRPr="00BD658F">
        <w:rPr>
          <w:rFonts w:hint="cs"/>
          <w:szCs w:val="24"/>
          <w:rtl/>
        </w:rPr>
        <w:t>.</w:t>
      </w:r>
      <w:r w:rsidR="009C4B3C">
        <w:rPr>
          <w:rFonts w:hint="cs"/>
          <w:szCs w:val="24"/>
          <w:rtl/>
        </w:rPr>
        <w:t xml:space="preserve"> </w:t>
      </w:r>
      <w:r w:rsidRPr="00BD658F">
        <w:rPr>
          <w:rFonts w:hint="cs"/>
          <w:szCs w:val="24"/>
          <w:rtl/>
        </w:rPr>
        <w:t>לצורך קידום נושאים אלה מעוניין המשרד לקבל הצעות מחקר בתחומי ה</w:t>
      </w:r>
      <w:r w:rsidR="009C4B3C">
        <w:rPr>
          <w:rFonts w:hint="cs"/>
          <w:szCs w:val="24"/>
          <w:rtl/>
        </w:rPr>
        <w:t>אנרגיה, ובתחומי מדעי האדמה והים</w:t>
      </w:r>
      <w:r w:rsidRPr="00BD658F">
        <w:rPr>
          <w:rFonts w:hint="cs"/>
          <w:szCs w:val="24"/>
          <w:rtl/>
        </w:rPr>
        <w:t>.</w:t>
      </w:r>
    </w:p>
    <w:p w14:paraId="5AAF8862" w14:textId="77777777" w:rsidR="00F54F29" w:rsidRPr="00BD658F" w:rsidRDefault="00F54F29" w:rsidP="00F54F29">
      <w:pPr>
        <w:spacing w:line="360" w:lineRule="auto"/>
        <w:jc w:val="both"/>
        <w:rPr>
          <w:szCs w:val="24"/>
          <w:rtl/>
        </w:rPr>
      </w:pPr>
      <w:proofErr w:type="spellStart"/>
      <w:r w:rsidRPr="00BD658F">
        <w:rPr>
          <w:rFonts w:hint="cs"/>
          <w:szCs w:val="24"/>
          <w:rtl/>
        </w:rPr>
        <w:t>יצויין</w:t>
      </w:r>
      <w:proofErr w:type="spellEnd"/>
      <w:r w:rsidRPr="00BD658F">
        <w:rPr>
          <w:rFonts w:hint="cs"/>
          <w:szCs w:val="24"/>
          <w:rtl/>
        </w:rPr>
        <w:t xml:space="preserve"> כי המשרד מאפשר ומעודד שיתוף גופי תעשיה במסגרת המחקר וזאת על ידי העסקתם כקבלני משנה במחקר</w:t>
      </w:r>
      <w:r w:rsidRPr="00BD658F">
        <w:rPr>
          <w:szCs w:val="24"/>
          <w:rtl/>
        </w:rPr>
        <w:t>.</w:t>
      </w:r>
      <w:r w:rsidRPr="00BD658F">
        <w:rPr>
          <w:rFonts w:hint="cs"/>
          <w:szCs w:val="24"/>
          <w:rtl/>
        </w:rPr>
        <w:t xml:space="preserve"> ניתן גם להגיש הצעות מחקר </w:t>
      </w:r>
      <w:r w:rsidRPr="00BD658F">
        <w:rPr>
          <w:szCs w:val="24"/>
          <w:rtl/>
        </w:rPr>
        <w:t>ב</w:t>
      </w:r>
      <w:r w:rsidRPr="00BD658F">
        <w:rPr>
          <w:rFonts w:hint="cs"/>
          <w:szCs w:val="24"/>
          <w:rtl/>
        </w:rPr>
        <w:t xml:space="preserve">מסגרת שיתופי הפעולה הבינלאומיים של המשרד, כדוגמת </w:t>
      </w:r>
      <w:r w:rsidRPr="00BD658F">
        <w:rPr>
          <w:szCs w:val="24"/>
          <w:rtl/>
        </w:rPr>
        <w:t xml:space="preserve">שיתוף </w:t>
      </w:r>
      <w:r w:rsidRPr="00BD658F">
        <w:rPr>
          <w:rFonts w:hint="cs"/>
          <w:szCs w:val="24"/>
          <w:rtl/>
        </w:rPr>
        <w:t>ה</w:t>
      </w:r>
      <w:r w:rsidRPr="00BD658F">
        <w:rPr>
          <w:szCs w:val="24"/>
          <w:rtl/>
        </w:rPr>
        <w:t>פעולה</w:t>
      </w:r>
      <w:r w:rsidRPr="00BD658F">
        <w:rPr>
          <w:rFonts w:hint="cs"/>
          <w:szCs w:val="24"/>
          <w:rtl/>
        </w:rPr>
        <w:t xml:space="preserve"> </w:t>
      </w:r>
      <w:r w:rsidRPr="00BD658F">
        <w:rPr>
          <w:szCs w:val="24"/>
          <w:rtl/>
        </w:rPr>
        <w:t xml:space="preserve">עם </w:t>
      </w:r>
      <w:r w:rsidRPr="00BD658F">
        <w:rPr>
          <w:rFonts w:hint="cs"/>
          <w:szCs w:val="24"/>
          <w:rtl/>
        </w:rPr>
        <w:t xml:space="preserve"> </w:t>
      </w:r>
      <w:r w:rsidRPr="00BD658F">
        <w:rPr>
          <w:rFonts w:asciiTheme="majorBidi" w:hAnsiTheme="majorBidi"/>
          <w:b/>
          <w:bCs/>
          <w:szCs w:val="24"/>
        </w:rPr>
        <w:t>JRC-IET</w:t>
      </w:r>
      <w:r w:rsidRPr="00BD658F">
        <w:rPr>
          <w:rFonts w:hint="eastAsia"/>
          <w:szCs w:val="24"/>
          <w:rtl/>
        </w:rPr>
        <w:t xml:space="preserve"> </w:t>
      </w:r>
      <w:r w:rsidRPr="00BD658F">
        <w:rPr>
          <w:rFonts w:hint="cs"/>
          <w:szCs w:val="24"/>
          <w:rtl/>
        </w:rPr>
        <w:t>מכון המרכז לאנרגיה ותחבורה ב</w:t>
      </w:r>
      <w:r w:rsidRPr="00BD658F">
        <w:rPr>
          <w:rFonts w:hint="eastAsia"/>
          <w:szCs w:val="24"/>
          <w:rtl/>
        </w:rPr>
        <w:t>מרכז</w:t>
      </w:r>
      <w:r w:rsidRPr="00BD658F">
        <w:rPr>
          <w:szCs w:val="24"/>
          <w:rtl/>
        </w:rPr>
        <w:t xml:space="preserve"> המו"פ המשותף של </w:t>
      </w:r>
      <w:r w:rsidRPr="00BD658F">
        <w:rPr>
          <w:rFonts w:hint="eastAsia"/>
          <w:szCs w:val="24"/>
          <w:rtl/>
        </w:rPr>
        <w:t>האיחוד</w:t>
      </w:r>
      <w:r w:rsidRPr="00BD658F">
        <w:rPr>
          <w:szCs w:val="24"/>
          <w:rtl/>
        </w:rPr>
        <w:t xml:space="preserve"> האירופ</w:t>
      </w:r>
      <w:r w:rsidRPr="00BD658F">
        <w:rPr>
          <w:rFonts w:hint="eastAsia"/>
          <w:szCs w:val="24"/>
          <w:rtl/>
        </w:rPr>
        <w:t>י</w:t>
      </w:r>
      <w:r w:rsidRPr="00BD658F">
        <w:rPr>
          <w:szCs w:val="24"/>
          <w:rtl/>
        </w:rPr>
        <w:t xml:space="preserve"> </w:t>
      </w:r>
      <w:r w:rsidRPr="00BD658F">
        <w:rPr>
          <w:rFonts w:hint="cs"/>
          <w:szCs w:val="24"/>
          <w:rtl/>
        </w:rPr>
        <w:t>(</w:t>
      </w:r>
      <w:r w:rsidRPr="00BD658F">
        <w:rPr>
          <w:szCs w:val="24"/>
        </w:rPr>
        <w:t>Joint Research Center</w:t>
      </w:r>
      <w:r w:rsidRPr="00BD658F">
        <w:rPr>
          <w:rFonts w:hint="cs"/>
          <w:szCs w:val="24"/>
          <w:rtl/>
        </w:rPr>
        <w:t>-</w:t>
      </w:r>
      <w:r w:rsidRPr="00BD658F">
        <w:rPr>
          <w:rFonts w:hint="cs"/>
          <w:szCs w:val="24"/>
        </w:rPr>
        <w:t>JRC</w:t>
      </w:r>
      <w:r w:rsidRPr="00BD658F">
        <w:rPr>
          <w:szCs w:val="24"/>
          <w:rtl/>
        </w:rPr>
        <w:t>)</w:t>
      </w:r>
      <w:r w:rsidRPr="00BD658F">
        <w:rPr>
          <w:rFonts w:hint="cs"/>
          <w:szCs w:val="24"/>
          <w:rtl/>
        </w:rPr>
        <w:t xml:space="preserve"> </w:t>
      </w:r>
      <w:r>
        <w:rPr>
          <w:rFonts w:hint="cs"/>
          <w:szCs w:val="24"/>
          <w:rtl/>
        </w:rPr>
        <w:t xml:space="preserve">וכן </w:t>
      </w:r>
      <w:r w:rsidRPr="00BD658F">
        <w:rPr>
          <w:szCs w:val="24"/>
        </w:rPr>
        <w:t>Solar ERA-NET</w:t>
      </w:r>
      <w:r w:rsidRPr="00BD658F">
        <w:rPr>
          <w:rFonts w:hint="cs"/>
          <w:szCs w:val="24"/>
          <w:rtl/>
        </w:rPr>
        <w:t xml:space="preserve">. </w:t>
      </w:r>
    </w:p>
    <w:p w14:paraId="4ECDC0CA" w14:textId="3846941A" w:rsidR="00F54F29" w:rsidRDefault="00F54F29" w:rsidP="009C4B3C">
      <w:pPr>
        <w:spacing w:line="360" w:lineRule="auto"/>
        <w:jc w:val="both"/>
        <w:rPr>
          <w:rFonts w:ascii="Arial" w:hAnsi="Arial" w:cs="Arial"/>
          <w:color w:val="1F497D"/>
          <w:sz w:val="22"/>
          <w:szCs w:val="22"/>
        </w:rPr>
      </w:pPr>
      <w:r w:rsidRPr="00BD658F">
        <w:rPr>
          <w:rFonts w:hint="cs"/>
          <w:szCs w:val="24"/>
          <w:rtl/>
        </w:rPr>
        <w:t>יובהר, כי בחלק מן המסגרות האירופאיות קיימות הנחיות נוספו</w:t>
      </w:r>
      <w:r>
        <w:rPr>
          <w:rFonts w:hint="cs"/>
          <w:szCs w:val="24"/>
          <w:rtl/>
        </w:rPr>
        <w:t xml:space="preserve">ת, לרבות הגשה מקבילה של ההצעות וכי </w:t>
      </w:r>
      <w:r w:rsidRPr="00BD658F">
        <w:rPr>
          <w:rFonts w:hint="cs"/>
          <w:szCs w:val="24"/>
          <w:rtl/>
        </w:rPr>
        <w:t xml:space="preserve">באחריות המגיש לעמוד בהנחיות המשרד והמסגרת הנוספות גם יחד. </w:t>
      </w:r>
      <w:r w:rsidR="009C4B3C" w:rsidRPr="009C4B3C">
        <w:rPr>
          <w:rFonts w:hint="cs"/>
          <w:szCs w:val="24"/>
          <w:rtl/>
        </w:rPr>
        <w:t>כמפורט במסמכי ה מכרז ונספחיו.</w:t>
      </w:r>
    </w:p>
    <w:p w14:paraId="69CD9ADB" w14:textId="77777777" w:rsidR="00F54F29" w:rsidRPr="00F54F29" w:rsidRDefault="00F54F29" w:rsidP="00401CE7">
      <w:pPr>
        <w:spacing w:line="360" w:lineRule="auto"/>
        <w:rPr>
          <w:rFonts w:ascii="Arial" w:hAnsi="Arial"/>
          <w:b/>
          <w:bCs/>
          <w:color w:val="FF0000"/>
          <w:szCs w:val="24"/>
          <w:rtl/>
        </w:rPr>
      </w:pPr>
    </w:p>
    <w:p w14:paraId="4986DA1C" w14:textId="77777777" w:rsidR="004F653F" w:rsidRPr="009C4B3C" w:rsidRDefault="004F653F" w:rsidP="008E080B">
      <w:pPr>
        <w:tabs>
          <w:tab w:val="left" w:pos="8312"/>
        </w:tabs>
        <w:spacing w:line="360" w:lineRule="auto"/>
        <w:jc w:val="both"/>
        <w:rPr>
          <w:b/>
          <w:bCs/>
          <w:sz w:val="22"/>
          <w:szCs w:val="22"/>
          <w:u w:val="single"/>
          <w:rtl/>
        </w:rPr>
      </w:pPr>
      <w:r w:rsidRPr="009C4B3C">
        <w:rPr>
          <w:rFonts w:hint="cs"/>
          <w:b/>
          <w:bCs/>
          <w:sz w:val="22"/>
          <w:szCs w:val="22"/>
          <w:u w:val="single"/>
          <w:rtl/>
        </w:rPr>
        <w:t>כללי</w:t>
      </w:r>
    </w:p>
    <w:p w14:paraId="4986DA1D" w14:textId="42EA781A" w:rsidR="004F653F" w:rsidRPr="009C4B3C" w:rsidRDefault="004F653F" w:rsidP="009C4B3C">
      <w:pPr>
        <w:tabs>
          <w:tab w:val="left" w:pos="8312"/>
        </w:tabs>
        <w:spacing w:line="360" w:lineRule="auto"/>
        <w:jc w:val="both"/>
        <w:rPr>
          <w:szCs w:val="24"/>
          <w:rtl/>
        </w:rPr>
      </w:pPr>
      <w:r w:rsidRPr="009C4B3C">
        <w:rPr>
          <w:rFonts w:hint="cs"/>
          <w:szCs w:val="24"/>
          <w:rtl/>
        </w:rPr>
        <w:t xml:space="preserve">תקופת ההתקשרות בין המשרד לבין הספק תהיה </w:t>
      </w:r>
      <w:r w:rsidR="009C4B3C" w:rsidRPr="009C4B3C">
        <w:rPr>
          <w:rFonts w:hint="cs"/>
          <w:szCs w:val="24"/>
          <w:rtl/>
        </w:rPr>
        <w:t>עד 36</w:t>
      </w:r>
      <w:r w:rsidRPr="009C4B3C">
        <w:rPr>
          <w:rFonts w:hint="cs"/>
          <w:szCs w:val="24"/>
          <w:rtl/>
        </w:rPr>
        <w:t xml:space="preserve"> חוד</w:t>
      </w:r>
      <w:r w:rsidR="00D77542" w:rsidRPr="009C4B3C">
        <w:rPr>
          <w:rFonts w:hint="cs"/>
          <w:szCs w:val="24"/>
          <w:rtl/>
        </w:rPr>
        <w:t>שים ממועד כניסתו לתוקף של ההסכם.</w:t>
      </w:r>
      <w:r w:rsidRPr="009C4B3C">
        <w:rPr>
          <w:rFonts w:hint="cs"/>
          <w:szCs w:val="24"/>
          <w:rtl/>
        </w:rPr>
        <w:t xml:space="preserve"> למשרד בלבד שמורה הזכות להאריך את ההתקש</w:t>
      </w:r>
      <w:r w:rsidR="009C4B3C" w:rsidRPr="009C4B3C">
        <w:rPr>
          <w:rFonts w:hint="cs"/>
          <w:szCs w:val="24"/>
          <w:rtl/>
        </w:rPr>
        <w:t>ר</w:t>
      </w:r>
      <w:r w:rsidRPr="009C4B3C">
        <w:rPr>
          <w:rFonts w:hint="cs"/>
          <w:szCs w:val="24"/>
          <w:rtl/>
        </w:rPr>
        <w:t xml:space="preserve">ות </w:t>
      </w:r>
      <w:r w:rsidR="009C4B3C" w:rsidRPr="009C4B3C">
        <w:rPr>
          <w:rFonts w:hint="cs"/>
          <w:szCs w:val="24"/>
          <w:rtl/>
        </w:rPr>
        <w:t>לתקופה נוספת ובסה"כ עד 4 שנים.</w:t>
      </w:r>
    </w:p>
    <w:p w14:paraId="4986DA1F" w14:textId="2177BDF1" w:rsidR="004F653F" w:rsidRPr="009C4B3C" w:rsidRDefault="004F653F" w:rsidP="00440131">
      <w:pPr>
        <w:spacing w:line="360" w:lineRule="auto"/>
        <w:contextualSpacing/>
        <w:jc w:val="both"/>
        <w:rPr>
          <w:szCs w:val="24"/>
        </w:rPr>
      </w:pPr>
      <w:r w:rsidRPr="009C4B3C">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9C4B3C">
        <w:rPr>
          <w:rFonts w:hint="cs"/>
          <w:szCs w:val="24"/>
          <w:rtl/>
        </w:rPr>
        <w:t xml:space="preserve">התשתיות הלאומיות, </w:t>
      </w:r>
      <w:r w:rsidRPr="009C4B3C">
        <w:rPr>
          <w:rFonts w:hint="cs"/>
          <w:szCs w:val="24"/>
          <w:rtl/>
        </w:rPr>
        <w:t xml:space="preserve">האנרגיה והמים שכתובתו </w:t>
      </w:r>
      <w:hyperlink r:id="rId12" w:history="1">
        <w:r w:rsidRPr="009C4B3C">
          <w:rPr>
            <w:rStyle w:val="Hyperlink"/>
            <w:color w:val="auto"/>
            <w:szCs w:val="24"/>
          </w:rPr>
          <w:t>www.energy.gov.il</w:t>
        </w:r>
      </w:hyperlink>
      <w:r w:rsidRPr="009C4B3C">
        <w:rPr>
          <w:szCs w:val="24"/>
        </w:rPr>
        <w:t xml:space="preserve"> </w:t>
      </w:r>
      <w:r w:rsidRPr="009C4B3C">
        <w:rPr>
          <w:rFonts w:hint="cs"/>
          <w:szCs w:val="24"/>
          <w:rtl/>
        </w:rPr>
        <w:t>.</w:t>
      </w:r>
    </w:p>
    <w:p w14:paraId="4986DA20" w14:textId="77777777" w:rsidR="004F653F" w:rsidRPr="009C4B3C" w:rsidRDefault="004F653F" w:rsidP="008E080B">
      <w:pPr>
        <w:spacing w:line="360" w:lineRule="auto"/>
        <w:jc w:val="both"/>
        <w:rPr>
          <w:sz w:val="22"/>
          <w:szCs w:val="22"/>
          <w:rtl/>
        </w:rPr>
      </w:pPr>
    </w:p>
    <w:p w14:paraId="4986DA21" w14:textId="47A42052" w:rsidR="004F653F" w:rsidRPr="009C4B3C" w:rsidRDefault="004F653F" w:rsidP="009C4B3C">
      <w:pPr>
        <w:spacing w:line="360" w:lineRule="auto"/>
        <w:jc w:val="both"/>
        <w:rPr>
          <w:b/>
          <w:bCs/>
          <w:szCs w:val="24"/>
          <w:u w:val="single"/>
          <w:rtl/>
        </w:rPr>
      </w:pPr>
      <w:r w:rsidRPr="009C4B3C">
        <w:rPr>
          <w:rFonts w:hint="cs"/>
          <w:szCs w:val="24"/>
          <w:rtl/>
        </w:rPr>
        <w:t xml:space="preserve">את מעטפת המכרז יש להכניס לתיבת המכרזים, הנמצאת במשרד האנרגיה והמים, רח' יפו 216, ירושלים, בקומה 7 (במסדרון ליד </w:t>
      </w:r>
      <w:r w:rsidR="009C7B5F" w:rsidRPr="009C4B3C">
        <w:rPr>
          <w:rFonts w:hint="cs"/>
          <w:szCs w:val="24"/>
          <w:rtl/>
        </w:rPr>
        <w:t xml:space="preserve">עמדת </w:t>
      </w:r>
      <w:r w:rsidR="00AC710D" w:rsidRPr="009C4B3C">
        <w:rPr>
          <w:rFonts w:hint="cs"/>
          <w:szCs w:val="24"/>
          <w:rtl/>
        </w:rPr>
        <w:t>המאבטח</w:t>
      </w:r>
      <w:r w:rsidRPr="009C4B3C">
        <w:rPr>
          <w:rFonts w:hint="cs"/>
          <w:szCs w:val="24"/>
          <w:rtl/>
        </w:rPr>
        <w:t xml:space="preserve">) לא יאוחר מיום  </w:t>
      </w:r>
      <w:r w:rsidR="009C4B3C" w:rsidRPr="009C4B3C">
        <w:rPr>
          <w:rFonts w:hint="cs"/>
          <w:b/>
          <w:bCs/>
          <w:szCs w:val="24"/>
          <w:u w:val="single"/>
          <w:rtl/>
        </w:rPr>
        <w:t xml:space="preserve">1.8.16 </w:t>
      </w:r>
      <w:r w:rsidRPr="009C4B3C">
        <w:rPr>
          <w:rFonts w:hint="cs"/>
          <w:b/>
          <w:bCs/>
          <w:szCs w:val="24"/>
          <w:u w:val="single"/>
          <w:rtl/>
        </w:rPr>
        <w:t>בשעה 14:00.</w:t>
      </w:r>
    </w:p>
    <w:p w14:paraId="4986DA22" w14:textId="77777777" w:rsidR="004F653F" w:rsidRPr="009C4B3C" w:rsidRDefault="004F653F" w:rsidP="008E080B">
      <w:pPr>
        <w:spacing w:line="360" w:lineRule="auto"/>
        <w:ind w:left="-1"/>
        <w:jc w:val="both"/>
        <w:rPr>
          <w:szCs w:val="24"/>
          <w:rtl/>
        </w:rPr>
      </w:pPr>
      <w:r w:rsidRPr="009C4B3C">
        <w:rPr>
          <w:rFonts w:hint="cs"/>
          <w:szCs w:val="24"/>
          <w:rtl/>
        </w:rPr>
        <w:t>אם המציע מחליט לשלוח את המעטפה באמצעות שליח (לרבות חברת דואר ישראל), עליו להכניסה לתוך מעטפה שניי</w:t>
      </w:r>
      <w:r w:rsidRPr="009C4B3C">
        <w:rPr>
          <w:rFonts w:hint="eastAsia"/>
          <w:szCs w:val="24"/>
          <w:rtl/>
        </w:rPr>
        <w:t>ה</w:t>
      </w:r>
      <w:r w:rsidRPr="009C4B3C">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9C4B3C" w:rsidRDefault="004F653F" w:rsidP="00AC710D">
      <w:pPr>
        <w:spacing w:line="360" w:lineRule="auto"/>
        <w:jc w:val="both"/>
        <w:rPr>
          <w:szCs w:val="24"/>
        </w:rPr>
      </w:pPr>
    </w:p>
    <w:p w14:paraId="4986DA24" w14:textId="77777777" w:rsidR="004F653F" w:rsidRPr="009C4B3C" w:rsidRDefault="004F653F" w:rsidP="00AC710D">
      <w:pPr>
        <w:spacing w:line="360" w:lineRule="auto"/>
        <w:jc w:val="both"/>
        <w:rPr>
          <w:szCs w:val="24"/>
        </w:rPr>
      </w:pPr>
      <w:r w:rsidRPr="009C4B3C">
        <w:rPr>
          <w:rFonts w:hint="cs"/>
          <w:b/>
          <w:bCs/>
          <w:szCs w:val="24"/>
          <w:rtl/>
        </w:rPr>
        <w:t>בכל מקרה של סתירה בין האמור בהודעה זו לאמור במסמכי המכרז יגבר האמור במסמכי המכרז.</w:t>
      </w:r>
    </w:p>
    <w:p w14:paraId="74C2EB94" w14:textId="77777777" w:rsidR="00DE48D2" w:rsidRPr="009C4B3C" w:rsidRDefault="00DE48D2" w:rsidP="00DE48D2">
      <w:pPr>
        <w:spacing w:line="360" w:lineRule="auto"/>
        <w:jc w:val="both"/>
        <w:rPr>
          <w:szCs w:val="24"/>
          <w:rtl/>
        </w:rPr>
      </w:pPr>
      <w:r w:rsidRPr="009C4B3C">
        <w:rPr>
          <w:rFonts w:hint="cs"/>
          <w:b/>
          <w:bCs/>
          <w:szCs w:val="24"/>
          <w:u w:val="single"/>
          <w:rtl/>
        </w:rPr>
        <w:t>שאלות והבהרות</w:t>
      </w:r>
    </w:p>
    <w:p w14:paraId="4986DA2A" w14:textId="6FD16600" w:rsidR="004F653F" w:rsidRPr="009C4B3C" w:rsidRDefault="004F653F" w:rsidP="009C4B3C">
      <w:pPr>
        <w:tabs>
          <w:tab w:val="left" w:pos="8617"/>
        </w:tabs>
        <w:spacing w:line="360" w:lineRule="auto"/>
        <w:ind w:left="-1"/>
        <w:jc w:val="both"/>
        <w:rPr>
          <w:szCs w:val="24"/>
          <w:rtl/>
        </w:rPr>
      </w:pPr>
      <w:r w:rsidRPr="009C4B3C">
        <w:rPr>
          <w:rFonts w:hint="cs"/>
          <w:szCs w:val="24"/>
          <w:rtl/>
        </w:rPr>
        <w:t xml:space="preserve">המועד האחרון להפניה של שאלות והבהרות הינו </w:t>
      </w:r>
      <w:r w:rsidR="009C4B3C" w:rsidRPr="009C4B3C">
        <w:rPr>
          <w:rFonts w:hint="cs"/>
          <w:b/>
          <w:bCs/>
          <w:szCs w:val="24"/>
          <w:u w:val="single"/>
          <w:rtl/>
        </w:rPr>
        <w:t>22.6.16</w:t>
      </w:r>
      <w:r w:rsidR="00E91E3C" w:rsidRPr="009C4B3C">
        <w:rPr>
          <w:rFonts w:hint="cs"/>
          <w:b/>
          <w:bCs/>
          <w:szCs w:val="24"/>
          <w:u w:val="single"/>
          <w:rtl/>
        </w:rPr>
        <w:t xml:space="preserve"> </w:t>
      </w:r>
      <w:r w:rsidRPr="009C4B3C">
        <w:rPr>
          <w:rFonts w:hint="cs"/>
          <w:b/>
          <w:bCs/>
          <w:szCs w:val="24"/>
          <w:u w:val="single"/>
          <w:rtl/>
        </w:rPr>
        <w:t>בשעה 14:00</w:t>
      </w:r>
      <w:r w:rsidRPr="009C4B3C">
        <w:rPr>
          <w:rFonts w:hint="cs"/>
          <w:szCs w:val="24"/>
          <w:rtl/>
        </w:rPr>
        <w:t xml:space="preserve"> לגב' אילנה טמסוט בדואר אלקטרוני שכתובתו:</w:t>
      </w:r>
      <w:hyperlink r:id="rId13" w:history="1">
        <w:r w:rsidRPr="009C4B3C">
          <w:rPr>
            <w:rStyle w:val="Hyperlink"/>
            <w:color w:val="auto"/>
            <w:szCs w:val="24"/>
          </w:rPr>
          <w:t>itamsut@energy.gov.il</w:t>
        </w:r>
      </w:hyperlink>
      <w:r w:rsidRPr="009C4B3C">
        <w:rPr>
          <w:szCs w:val="24"/>
        </w:rPr>
        <w:t xml:space="preserve"> </w:t>
      </w:r>
      <w:r w:rsidRPr="009C4B3C">
        <w:rPr>
          <w:rFonts w:hint="cs"/>
          <w:szCs w:val="24"/>
          <w:rtl/>
        </w:rPr>
        <w:t>, המשרד לא ישיב שאלות שיגיעו לאחר מועד אחרון זה.</w:t>
      </w:r>
    </w:p>
    <w:p w14:paraId="4986DA2B" w14:textId="1C1DE3C3" w:rsidR="004F653F" w:rsidRPr="009C4B3C" w:rsidRDefault="004F653F" w:rsidP="009C4B3C">
      <w:pPr>
        <w:tabs>
          <w:tab w:val="left" w:pos="9355"/>
        </w:tabs>
        <w:spacing w:line="360" w:lineRule="auto"/>
        <w:ind w:left="-1"/>
        <w:jc w:val="both"/>
        <w:rPr>
          <w:szCs w:val="24"/>
          <w:rtl/>
        </w:rPr>
      </w:pPr>
      <w:r w:rsidRPr="009C4B3C">
        <w:rPr>
          <w:rFonts w:hint="cs"/>
          <w:szCs w:val="24"/>
          <w:rtl/>
        </w:rPr>
        <w:t xml:space="preserve">ריכוז השאלות והתשובות יפורסמו באתר הרכש הממשלתי ובאתר האינטרנט של המשרד החל מיום </w:t>
      </w:r>
      <w:r w:rsidR="009C4B3C" w:rsidRPr="009C4B3C">
        <w:rPr>
          <w:rFonts w:hint="cs"/>
          <w:b/>
          <w:bCs/>
          <w:szCs w:val="24"/>
          <w:u w:val="single"/>
          <w:rtl/>
        </w:rPr>
        <w:t>7.7.16</w:t>
      </w:r>
      <w:r w:rsidR="009C7B5F" w:rsidRPr="009C4B3C">
        <w:rPr>
          <w:rFonts w:hint="cs"/>
          <w:b/>
          <w:bCs/>
          <w:szCs w:val="24"/>
          <w:u w:val="single"/>
          <w:rtl/>
        </w:rPr>
        <w:t xml:space="preserve"> </w:t>
      </w:r>
      <w:r w:rsidRPr="009C4B3C">
        <w:rPr>
          <w:rFonts w:hint="cs"/>
          <w:szCs w:val="24"/>
          <w:rtl/>
        </w:rPr>
        <w:t>והן יהוו חלק בלתי נפרד ממסמכי המכרז ויחייבו את כל המציעים.</w:t>
      </w:r>
    </w:p>
    <w:p w14:paraId="4986DA2C" w14:textId="77777777" w:rsidR="004F653F" w:rsidRPr="009C4B3C" w:rsidRDefault="004F653F" w:rsidP="00D77542">
      <w:pPr>
        <w:tabs>
          <w:tab w:val="left" w:pos="9355"/>
        </w:tabs>
        <w:spacing w:line="360" w:lineRule="auto"/>
        <w:jc w:val="both"/>
        <w:rPr>
          <w:szCs w:val="24"/>
          <w:rtl/>
        </w:rPr>
      </w:pPr>
      <w:r w:rsidRPr="009C4B3C">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9C4B3C" w:rsidRDefault="00A364F7" w:rsidP="00D77542">
      <w:pPr>
        <w:tabs>
          <w:tab w:val="left" w:pos="6469"/>
          <w:tab w:val="center" w:pos="7178"/>
        </w:tabs>
        <w:spacing w:line="360" w:lineRule="auto"/>
        <w:jc w:val="right"/>
        <w:rPr>
          <w:szCs w:val="24"/>
          <w:rtl/>
        </w:rPr>
      </w:pPr>
      <w:r w:rsidRPr="009C4B3C">
        <w:rPr>
          <w:szCs w:val="24"/>
          <w:rtl/>
        </w:rPr>
        <w:t>בברכה,</w:t>
      </w:r>
      <w:r w:rsidR="007F6C9A" w:rsidRPr="009C4B3C">
        <w:rPr>
          <w:szCs w:val="24"/>
        </w:rPr>
        <w:t xml:space="preserve"> </w:t>
      </w:r>
    </w:p>
    <w:p w14:paraId="1CDAD723" w14:textId="530C08C5" w:rsidR="00DA69EB" w:rsidRPr="009C4B3C" w:rsidRDefault="00A364F7" w:rsidP="00E91E3C">
      <w:pPr>
        <w:tabs>
          <w:tab w:val="left" w:pos="6469"/>
          <w:tab w:val="center" w:pos="7178"/>
        </w:tabs>
        <w:jc w:val="right"/>
        <w:rPr>
          <w:szCs w:val="24"/>
        </w:rPr>
      </w:pPr>
      <w:r w:rsidRPr="009C4B3C">
        <w:rPr>
          <w:rFonts w:hint="cs"/>
          <w:szCs w:val="24"/>
          <w:rtl/>
        </w:rPr>
        <w:t xml:space="preserve">  </w:t>
      </w:r>
      <w:r w:rsidRPr="009C4B3C">
        <w:rPr>
          <w:szCs w:val="24"/>
          <w:rtl/>
        </w:rPr>
        <w:t>ועדת המכרזים</w:t>
      </w:r>
    </w:p>
    <w:sectPr w:rsidR="00DA69EB" w:rsidRPr="009C4B3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9C4B3C" w:rsidRPr="009C4B3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07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4B3C"/>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2FE7"/>
    <w:rsid w:val="00DE48D2"/>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4F29"/>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070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חת_200_2016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במאי 2016</DocumentCreateDateEnglish>
    <DocumentCreateDateHebrew xmlns="8f5b83e0-a1d3-486c-bd07-833a425c74af">כ"ג באייר התשע"ו</DocumentCreateDateHebrew>
    <SubjectDocument xmlns="8f5b83e0-a1d3-486c-bd07-833a425c74af">פרסום מכרז פומבי 15/16 למחקרים בתחום האנרגיה ומדעי האדמה והים לשנת 2016</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31/05/2016 01:08;15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200</CounterString>
    <LastLockUser xmlns="8f5b83e0-a1d3-486c-bd07-833a425c74af" xsi:nil="true"/>
    <LastCheckOutDate xmlns="8f5b83e0-a1d3-486c-bd07-833a425c74af">31/05/2016 11:53;36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HT_200_2016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2016-05-31T00:00:00+00:00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http://schemas.microsoft.com/office/2006/documentManagement/types"/>
    <ds:schemaRef ds:uri="8f5b83e0-a1d3-486c-bd07-833a425c74af"/>
    <ds:schemaRef ds:uri="http://purl.org/dc/elements/1.1/"/>
    <ds:schemaRef ds:uri="http://purl.org/dc/terms/"/>
    <ds:schemaRef ds:uri="http://schemas.openxmlformats.org/package/2006/metadata/core-properties"/>
    <ds:schemaRef ds:uri="87b98568-e8c7-4058-bf31-e11803adaf85"/>
    <ds:schemaRef ds:uri="http://www.w3.org/XML/1998/namespace"/>
    <ds:schemaRef ds:uri="http://purl.org/dc/dcmitype/"/>
  </ds:schemaRefs>
</ds:datastoreItem>
</file>

<file path=customXml/itemProps5.xml><?xml version="1.0" encoding="utf-8"?>
<ds:datastoreItem xmlns:ds="http://schemas.openxmlformats.org/officeDocument/2006/customXml" ds:itemID="{A6426A46-1F14-46EF-A3A6-B5430B4A7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401</Words>
  <Characters>2008</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2016-05-31T10:07:00Z</cp:lastPrinted>
  <dcterms:created xsi:type="dcterms:W3CDTF">2016-06-01T12:31:00Z</dcterms:created>
  <dcterms:modified xsi:type="dcterms:W3CDTF">2016-06-01T12:31:00Z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